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EE" w:rsidRDefault="005A39AF" w:rsidP="000048EE">
      <w:pPr>
        <w:pStyle w:val="Default"/>
        <w:jc w:val="both"/>
        <w:rPr>
          <w:rFonts w:ascii="Times" w:hAnsi="Times" w:cs="Arial"/>
          <w:sz w:val="20"/>
          <w:szCs w:val="20"/>
        </w:rPr>
      </w:pPr>
      <w:r w:rsidRPr="005A39AF">
        <w:rPr>
          <w:noProof/>
          <w:lang w:eastAsia="de-DE"/>
        </w:rPr>
        <w:pict>
          <v:shapetype id="_x0000_t202" coordsize="21600,21600" o:spt="202" path="m,l,21600r21600,l21600,xe">
            <v:stroke joinstyle="miter"/>
            <v:path gradientshapeok="t" o:connecttype="rect"/>
          </v:shapetype>
          <v:shape id="Textfeld 6" o:spid="_x0000_s1026" type="#_x0000_t202" style="position:absolute;left:0;text-align:left;margin-left:314.4pt;margin-top:45.9pt;width:87.95pt;height:103.45pt;z-index:25165926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5uAIAALo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" o:allowincell="f" filled="f" stroked="f">
            <v:textbox style="mso-next-textbox:#Textfeld 6">
              <w:txbxContent>
                <w:tbl>
                  <w:tblPr>
                    <w:tblW w:w="6150" w:type="dxa"/>
                    <w:tblBorders>
                      <w:top w:val="nil"/>
                      <w:left w:val="nil"/>
                      <w:bottom w:val="nil"/>
                      <w:right w:val="nil"/>
                    </w:tblBorders>
                    <w:tblLayout w:type="fixed"/>
                    <w:tblLook w:val="0000"/>
                  </w:tblPr>
                  <w:tblGrid>
                    <w:gridCol w:w="6150"/>
                  </w:tblGrid>
                  <w:tr w:rsidR="00DA615B">
                    <w:trPr>
                      <w:trHeight w:val="129"/>
                    </w:trPr>
                    <w:tc>
                      <w:tcPr>
                        <w:tcW w:w="6150" w:type="dxa"/>
                      </w:tcPr>
                      <w:p w:rsidR="00DA615B" w:rsidRDefault="00500E99" w:rsidP="003D67A2">
                        <w:pPr>
                          <w:pStyle w:val="Default"/>
                          <w:spacing w:after="100" w:afterAutospacing="1"/>
                          <w:rPr>
                            <w:color w:val="221E1F"/>
                            <w:sz w:val="16"/>
                            <w:szCs w:val="16"/>
                          </w:rPr>
                        </w:pPr>
                        <w:r w:rsidRPr="00500E99">
                          <w:rPr>
                            <w:noProof/>
                            <w:color w:val="221E1F"/>
                            <w:sz w:val="16"/>
                            <w:szCs w:val="16"/>
                            <w:lang w:eastAsia="de-DE"/>
                          </w:rPr>
                          <w:drawing>
                            <wp:inline distT="0" distB="0" distL="0" distR="0">
                              <wp:extent cx="1042670" cy="11201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hfmdkopak"/>
                                      <pic:cNvPicPr>
                                        <a:picLocks noChangeAspect="1" noChangeArrowheads="1"/>
                                      </pic:cNvPicPr>
                                    </pic:nvPicPr>
                                    <pic:blipFill>
                                      <a:blip r:embed="rId6" cstate="print"/>
                                      <a:srcRect/>
                                      <a:stretch>
                                        <a:fillRect/>
                                      </a:stretch>
                                    </pic:blipFill>
                                    <pic:spPr bwMode="auto">
                                      <a:xfrm>
                                        <a:off x="0" y="0"/>
                                        <a:ext cx="1042670" cy="1121410"/>
                                      </a:xfrm>
                                      <a:prstGeom prst="rect">
                                        <a:avLst/>
                                      </a:prstGeom>
                                      <a:noFill/>
                                      <a:ln w="9525">
                                        <a:noFill/>
                                        <a:miter lim="800000"/>
                                        <a:headEnd/>
                                        <a:tailEnd/>
                                      </a:ln>
                                    </pic:spPr>
                                  </pic:pic>
                                </a:graphicData>
                              </a:graphic>
                            </wp:inline>
                          </w:drawing>
                        </w:r>
                      </w:p>
                      <w:p w:rsidR="000048EE" w:rsidRDefault="000048EE" w:rsidP="003D67A2">
                        <w:pPr>
                          <w:pStyle w:val="Default"/>
                          <w:spacing w:after="100" w:afterAutospacing="1"/>
                          <w:rPr>
                            <w:color w:val="221E1F"/>
                            <w:sz w:val="16"/>
                            <w:szCs w:val="16"/>
                          </w:rPr>
                        </w:pPr>
                      </w:p>
                    </w:tc>
                  </w:tr>
                  <w:tr w:rsidR="00DA615B">
                    <w:trPr>
                      <w:trHeight w:val="167"/>
                    </w:trPr>
                    <w:tc>
                      <w:tcPr>
                        <w:tcW w:w="6150" w:type="dxa"/>
                        <w:vAlign w:val="center"/>
                      </w:tcPr>
                      <w:p w:rsidR="00DA615B" w:rsidRPr="008E4534" w:rsidRDefault="00DA615B" w:rsidP="003D67A2">
                        <w:pPr>
                          <w:pStyle w:val="Default"/>
                          <w:spacing w:before="120" w:after="120"/>
                          <w:rPr>
                            <w:color w:val="221E1F"/>
                            <w:sz w:val="16"/>
                            <w:szCs w:val="16"/>
                            <w:highlight w:val="yellow"/>
                          </w:rPr>
                        </w:pPr>
                      </w:p>
                    </w:tc>
                  </w:tr>
                  <w:tr w:rsidR="00DA615B">
                    <w:trPr>
                      <w:trHeight w:val="134"/>
                    </w:trPr>
                    <w:tc>
                      <w:tcPr>
                        <w:tcW w:w="6150" w:type="dxa"/>
                        <w:vAlign w:val="center"/>
                      </w:tcPr>
                      <w:p w:rsidR="00DA615B" w:rsidRDefault="00DA615B">
                        <w:pPr>
                          <w:pStyle w:val="Default"/>
                          <w:rPr>
                            <w:color w:val="221E1F"/>
                            <w:sz w:val="16"/>
                            <w:szCs w:val="16"/>
                          </w:rPr>
                        </w:pPr>
                      </w:p>
                    </w:tc>
                  </w:tr>
                  <w:tr w:rsidR="00DA615B">
                    <w:trPr>
                      <w:trHeight w:val="368"/>
                    </w:trPr>
                    <w:tc>
                      <w:tcPr>
                        <w:tcW w:w="6150" w:type="dxa"/>
                      </w:tcPr>
                      <w:p w:rsidR="00DA615B" w:rsidRDefault="00DA615B" w:rsidP="00046059">
                        <w:pPr>
                          <w:pStyle w:val="Default"/>
                          <w:rPr>
                            <w:color w:val="221E1F"/>
                            <w:sz w:val="16"/>
                            <w:szCs w:val="16"/>
                          </w:rPr>
                        </w:pPr>
                      </w:p>
                    </w:tc>
                  </w:tr>
                  <w:tr w:rsidR="00DA615B">
                    <w:trPr>
                      <w:trHeight w:val="368"/>
                    </w:trPr>
                    <w:tc>
                      <w:tcPr>
                        <w:tcW w:w="6150" w:type="dxa"/>
                      </w:tcPr>
                      <w:p w:rsidR="00DA615B" w:rsidRPr="00046059" w:rsidRDefault="00DA615B" w:rsidP="00B55523">
                        <w:pPr>
                          <w:pStyle w:val="Default"/>
                          <w:rPr>
                            <w:color w:val="221E1F"/>
                            <w:sz w:val="16"/>
                            <w:szCs w:val="16"/>
                          </w:rPr>
                        </w:pPr>
                      </w:p>
                    </w:tc>
                  </w:tr>
                </w:tbl>
                <w:p w:rsidR="00DA615B" w:rsidRDefault="00DA615B"/>
              </w:txbxContent>
            </v:textbox>
            <w10:wrap type="through" anchorx="page" anchory="page"/>
          </v:shape>
        </w:pict>
      </w:r>
    </w:p>
    <w:p w:rsidR="000048EE" w:rsidRDefault="000048EE" w:rsidP="000048EE">
      <w:pPr>
        <w:pStyle w:val="Default"/>
        <w:jc w:val="both"/>
        <w:rPr>
          <w:rFonts w:ascii="Times" w:hAnsi="Times" w:cs="Arial"/>
          <w:sz w:val="20"/>
          <w:szCs w:val="20"/>
        </w:rPr>
      </w:pPr>
    </w:p>
    <w:p w:rsidR="00B55523" w:rsidRDefault="00B55523" w:rsidP="00B55523">
      <w:pPr>
        <w:jc w:val="both"/>
        <w:rPr>
          <w:rFonts w:ascii="Times" w:hAnsi="Times" w:cs="Arial"/>
          <w:color w:val="595959" w:themeColor="text1" w:themeTint="A6"/>
          <w:sz w:val="26"/>
          <w:szCs w:val="20"/>
        </w:rPr>
      </w:pPr>
      <w:r w:rsidRPr="003D67A2">
        <w:rPr>
          <w:rFonts w:ascii="Times" w:hAnsi="Times" w:cs="Arial"/>
          <w:color w:val="595959" w:themeColor="text1" w:themeTint="A6"/>
          <w:sz w:val="26"/>
          <w:szCs w:val="20"/>
        </w:rPr>
        <w:t>P</w:t>
      </w:r>
      <w:r w:rsidR="003D67A2" w:rsidRPr="003D67A2">
        <w:rPr>
          <w:rFonts w:ascii="Times" w:hAnsi="Times" w:cs="Arial"/>
          <w:color w:val="595959" w:themeColor="text1" w:themeTint="A6"/>
          <w:sz w:val="26"/>
          <w:szCs w:val="20"/>
        </w:rPr>
        <w:t xml:space="preserve"> </w:t>
      </w:r>
      <w:r w:rsidRPr="003D67A2">
        <w:rPr>
          <w:rFonts w:ascii="Times" w:hAnsi="Times" w:cs="Arial"/>
          <w:color w:val="595959" w:themeColor="text1" w:themeTint="A6"/>
          <w:sz w:val="26"/>
          <w:szCs w:val="20"/>
        </w:rPr>
        <w:t>R</w:t>
      </w:r>
      <w:r w:rsidR="003D67A2" w:rsidRPr="003D67A2">
        <w:rPr>
          <w:rFonts w:ascii="Times" w:hAnsi="Times" w:cs="Arial"/>
          <w:color w:val="595959" w:themeColor="text1" w:themeTint="A6"/>
          <w:sz w:val="26"/>
          <w:szCs w:val="20"/>
        </w:rPr>
        <w:t xml:space="preserve"> </w:t>
      </w:r>
      <w:r w:rsidRPr="003D67A2">
        <w:rPr>
          <w:rFonts w:ascii="Times" w:hAnsi="Times" w:cs="Arial"/>
          <w:color w:val="595959" w:themeColor="text1" w:themeTint="A6"/>
          <w:sz w:val="26"/>
          <w:szCs w:val="20"/>
        </w:rPr>
        <w:t>E</w:t>
      </w:r>
      <w:r w:rsidR="003D67A2" w:rsidRPr="003D67A2">
        <w:rPr>
          <w:rFonts w:ascii="Times" w:hAnsi="Times" w:cs="Arial"/>
          <w:color w:val="595959" w:themeColor="text1" w:themeTint="A6"/>
          <w:sz w:val="26"/>
          <w:szCs w:val="20"/>
        </w:rPr>
        <w:t xml:space="preserve"> </w:t>
      </w:r>
      <w:r w:rsidRPr="003D67A2">
        <w:rPr>
          <w:rFonts w:ascii="Times" w:hAnsi="Times" w:cs="Arial"/>
          <w:color w:val="595959" w:themeColor="text1" w:themeTint="A6"/>
          <w:sz w:val="26"/>
          <w:szCs w:val="20"/>
        </w:rPr>
        <w:t>S</w:t>
      </w:r>
      <w:r w:rsidR="003D67A2" w:rsidRPr="003D67A2">
        <w:rPr>
          <w:rFonts w:ascii="Times" w:hAnsi="Times" w:cs="Arial"/>
          <w:color w:val="595959" w:themeColor="text1" w:themeTint="A6"/>
          <w:sz w:val="26"/>
          <w:szCs w:val="20"/>
        </w:rPr>
        <w:t xml:space="preserve"> </w:t>
      </w:r>
      <w:r w:rsidRPr="003D67A2">
        <w:rPr>
          <w:rFonts w:ascii="Times" w:hAnsi="Times" w:cs="Arial"/>
          <w:color w:val="595959" w:themeColor="text1" w:themeTint="A6"/>
          <w:sz w:val="26"/>
          <w:szCs w:val="20"/>
        </w:rPr>
        <w:t>S</w:t>
      </w:r>
      <w:r w:rsidR="003D67A2" w:rsidRPr="003D67A2">
        <w:rPr>
          <w:rFonts w:ascii="Times" w:hAnsi="Times" w:cs="Arial"/>
          <w:color w:val="595959" w:themeColor="text1" w:themeTint="A6"/>
          <w:sz w:val="26"/>
          <w:szCs w:val="20"/>
        </w:rPr>
        <w:t xml:space="preserve"> </w:t>
      </w:r>
      <w:r w:rsidRPr="003D67A2">
        <w:rPr>
          <w:rFonts w:ascii="Times" w:hAnsi="Times" w:cs="Arial"/>
          <w:color w:val="595959" w:themeColor="text1" w:themeTint="A6"/>
          <w:sz w:val="26"/>
          <w:szCs w:val="20"/>
        </w:rPr>
        <w:t>E</w:t>
      </w:r>
      <w:r w:rsidR="003D67A2" w:rsidRPr="003D67A2">
        <w:rPr>
          <w:rFonts w:ascii="Times" w:hAnsi="Times" w:cs="Arial"/>
          <w:color w:val="595959" w:themeColor="text1" w:themeTint="A6"/>
          <w:sz w:val="26"/>
          <w:szCs w:val="20"/>
        </w:rPr>
        <w:t xml:space="preserve"> </w:t>
      </w:r>
      <w:r w:rsidR="004A33C4">
        <w:rPr>
          <w:rFonts w:ascii="Times" w:hAnsi="Times" w:cs="Arial"/>
          <w:color w:val="595959" w:themeColor="text1" w:themeTint="A6"/>
          <w:sz w:val="26"/>
          <w:szCs w:val="20"/>
        </w:rPr>
        <w:t>M E L D U N G</w:t>
      </w:r>
      <w:r w:rsidR="00500E99">
        <w:rPr>
          <w:rFonts w:ascii="Times" w:hAnsi="Times" w:cs="Arial"/>
          <w:color w:val="595959" w:themeColor="text1" w:themeTint="A6"/>
          <w:sz w:val="26"/>
          <w:szCs w:val="20"/>
        </w:rPr>
        <w:t xml:space="preserve"> </w:t>
      </w:r>
      <w:r w:rsidR="003D67A2" w:rsidRPr="003D67A2">
        <w:rPr>
          <w:rFonts w:ascii="Times" w:hAnsi="Times" w:cs="Arial"/>
          <w:color w:val="595959" w:themeColor="text1" w:themeTint="A6"/>
          <w:sz w:val="26"/>
          <w:szCs w:val="20"/>
        </w:rPr>
        <w:t xml:space="preserve"> </w:t>
      </w:r>
      <w:r w:rsidR="003D67A2">
        <w:rPr>
          <w:rFonts w:ascii="Times" w:hAnsi="Times" w:cs="Arial"/>
          <w:color w:val="595959" w:themeColor="text1" w:themeTint="A6"/>
          <w:sz w:val="26"/>
          <w:szCs w:val="20"/>
        </w:rPr>
        <w:t xml:space="preserve"> </w:t>
      </w:r>
    </w:p>
    <w:p w:rsidR="00A14F9B" w:rsidRPr="003D67A2" w:rsidRDefault="00A14F9B" w:rsidP="00B55523">
      <w:pPr>
        <w:jc w:val="both"/>
        <w:rPr>
          <w:rFonts w:ascii="Times" w:hAnsi="Times" w:cs="Arial"/>
          <w:color w:val="595959" w:themeColor="text1" w:themeTint="A6"/>
          <w:sz w:val="26"/>
          <w:szCs w:val="20"/>
        </w:rPr>
      </w:pPr>
    </w:p>
    <w:p w:rsidR="00A14F9B" w:rsidRDefault="00A14F9B" w:rsidP="00500E99">
      <w:pPr>
        <w:spacing w:after="0"/>
        <w:ind w:right="1134"/>
        <w:rPr>
          <w:rFonts w:ascii="Arial" w:hAnsi="Arial" w:cs="Arial"/>
          <w:b/>
          <w:color w:val="000000"/>
        </w:rPr>
      </w:pPr>
      <w:r>
        <w:rPr>
          <w:rFonts w:ascii="Arial" w:hAnsi="Arial" w:cs="Arial"/>
          <w:b/>
          <w:color w:val="000000"/>
        </w:rPr>
        <w:t>Die 3.</w:t>
      </w:r>
      <w:r w:rsidR="00EE7402">
        <w:rPr>
          <w:rFonts w:ascii="Arial" w:hAnsi="Arial" w:cs="Arial"/>
          <w:b/>
          <w:color w:val="000000"/>
        </w:rPr>
        <w:t xml:space="preserve"> </w:t>
      </w:r>
      <w:r>
        <w:rPr>
          <w:rFonts w:ascii="Arial" w:hAnsi="Arial" w:cs="Arial"/>
          <w:b/>
          <w:color w:val="000000"/>
        </w:rPr>
        <w:t>Biennale Tanzausbildung 2012 ist eröffnet</w:t>
      </w:r>
    </w:p>
    <w:p w:rsidR="00B55523" w:rsidRDefault="00EE7402" w:rsidP="00AF1C8D">
      <w:pPr>
        <w:spacing w:after="0"/>
        <w:ind w:right="1134"/>
        <w:rPr>
          <w:rFonts w:ascii="Arial" w:hAnsi="Arial" w:cs="Arial"/>
          <w:b/>
          <w:color w:val="000000"/>
        </w:rPr>
      </w:pPr>
      <w:r>
        <w:rPr>
          <w:rFonts w:ascii="Arial" w:hAnsi="Arial" w:cs="Arial"/>
          <w:b/>
          <w:color w:val="000000"/>
        </w:rPr>
        <w:t>a</w:t>
      </w:r>
      <w:r w:rsidR="00A14F9B">
        <w:rPr>
          <w:rFonts w:ascii="Arial" w:hAnsi="Arial" w:cs="Arial"/>
          <w:b/>
          <w:color w:val="000000"/>
        </w:rPr>
        <w:t xml:space="preserve">m 10.3. </w:t>
      </w:r>
      <w:r w:rsidR="00142F34">
        <w:rPr>
          <w:rFonts w:ascii="Arial" w:hAnsi="Arial" w:cs="Arial"/>
          <w:b/>
          <w:color w:val="000000"/>
        </w:rPr>
        <w:t xml:space="preserve">Start der öffentlichen Fachtagung </w:t>
      </w:r>
      <w:r w:rsidR="00A14F9B">
        <w:rPr>
          <w:rFonts w:ascii="Arial" w:hAnsi="Arial" w:cs="Arial"/>
          <w:b/>
          <w:color w:val="000000"/>
        </w:rPr>
        <w:t xml:space="preserve">„KulturErbe Tanz“ </w:t>
      </w:r>
      <w:r w:rsidR="00FC1A61">
        <w:rPr>
          <w:rFonts w:ascii="Arial" w:hAnsi="Arial" w:cs="Arial"/>
          <w:b/>
          <w:color w:val="000000"/>
        </w:rPr>
        <w:t xml:space="preserve"> </w:t>
      </w:r>
      <w:r w:rsidR="00500E99">
        <w:rPr>
          <w:rFonts w:ascii="Arial" w:hAnsi="Arial" w:cs="Arial"/>
          <w:b/>
          <w:color w:val="000000"/>
        </w:rPr>
        <w:t xml:space="preserve"> </w:t>
      </w:r>
      <w:r w:rsidR="00AF1C8D">
        <w:rPr>
          <w:rFonts w:ascii="Arial" w:hAnsi="Arial" w:cs="Arial"/>
          <w:b/>
          <w:color w:val="000000"/>
        </w:rPr>
        <w:t xml:space="preserve"> </w:t>
      </w:r>
    </w:p>
    <w:p w:rsidR="00AF1C8D" w:rsidRDefault="00AF1C8D" w:rsidP="00AF1C8D">
      <w:pPr>
        <w:spacing w:after="0"/>
        <w:ind w:right="1134"/>
        <w:rPr>
          <w:rFonts w:ascii="Arial" w:hAnsi="Arial" w:cs="Arial"/>
          <w:b/>
          <w:color w:val="000000"/>
        </w:rPr>
      </w:pPr>
    </w:p>
    <w:p w:rsidR="005A2D2D" w:rsidRDefault="004A33C4" w:rsidP="00500E99">
      <w:pPr>
        <w:spacing w:line="240" w:lineRule="auto"/>
        <w:ind w:right="709"/>
        <w:jc w:val="both"/>
        <w:rPr>
          <w:rFonts w:eastAsia="Arial Unicode MS" w:cs="Arial Unicode MS"/>
        </w:rPr>
      </w:pPr>
      <w:r w:rsidRPr="004A33C4">
        <w:rPr>
          <w:rFonts w:eastAsia="Arial Unicode MS" w:cs="Arial Unicode MS"/>
        </w:rPr>
        <w:t xml:space="preserve">Das </w:t>
      </w:r>
      <w:r>
        <w:rPr>
          <w:rFonts w:eastAsia="Arial Unicode MS" w:cs="Arial Unicode MS"/>
        </w:rPr>
        <w:t>Frankfurt LAB war</w:t>
      </w:r>
      <w:r w:rsidR="003646D8">
        <w:rPr>
          <w:rFonts w:eastAsia="Arial Unicode MS" w:cs="Arial Unicode MS"/>
        </w:rPr>
        <w:t xml:space="preserve"> am 6.3.</w:t>
      </w:r>
      <w:r>
        <w:rPr>
          <w:rFonts w:eastAsia="Arial Unicode MS" w:cs="Arial Unicode MS"/>
        </w:rPr>
        <w:t xml:space="preserve"> bis zum letzten Platz besetzt, als Prof. Dieter Heitkamp</w:t>
      </w:r>
      <w:r w:rsidR="00514762">
        <w:rPr>
          <w:rFonts w:eastAsia="Arial Unicode MS" w:cs="Arial Unicode MS"/>
        </w:rPr>
        <w:t xml:space="preserve"> </w:t>
      </w:r>
      <w:r>
        <w:rPr>
          <w:rFonts w:eastAsia="Arial Unicode MS" w:cs="Arial Unicode MS"/>
        </w:rPr>
        <w:t xml:space="preserve"> </w:t>
      </w:r>
      <w:r w:rsidR="00514762">
        <w:rPr>
          <w:rFonts w:eastAsia="Arial Unicode MS" w:cs="Arial Unicode MS"/>
        </w:rPr>
        <w:t>auf</w:t>
      </w:r>
      <w:r w:rsidR="008079EB">
        <w:rPr>
          <w:rFonts w:eastAsia="Arial Unicode MS" w:cs="Arial Unicode MS"/>
        </w:rPr>
        <w:t xml:space="preserve"> unkonventionel</w:t>
      </w:r>
      <w:r w:rsidR="00514762">
        <w:rPr>
          <w:rFonts w:eastAsia="Arial Unicode MS" w:cs="Arial Unicode MS"/>
        </w:rPr>
        <w:t>l</w:t>
      </w:r>
      <w:r w:rsidR="00E20E20">
        <w:rPr>
          <w:rFonts w:eastAsia="Arial Unicode MS" w:cs="Arial Unicode MS"/>
        </w:rPr>
        <w:t>e Art</w:t>
      </w:r>
      <w:r>
        <w:rPr>
          <w:rFonts w:eastAsia="Arial Unicode MS" w:cs="Arial Unicode MS"/>
        </w:rPr>
        <w:t xml:space="preserve"> die Förde</w:t>
      </w:r>
      <w:r w:rsidR="00514762">
        <w:rPr>
          <w:rFonts w:eastAsia="Arial Unicode MS" w:cs="Arial Unicode MS"/>
        </w:rPr>
        <w:t xml:space="preserve">rer, das LAB-Team, </w:t>
      </w:r>
      <w:r w:rsidR="00AA52E5">
        <w:rPr>
          <w:rFonts w:eastAsia="Arial Unicode MS" w:cs="Arial Unicode MS"/>
        </w:rPr>
        <w:t xml:space="preserve"> 120 Tanz-</w:t>
      </w:r>
      <w:r>
        <w:rPr>
          <w:rFonts w:eastAsia="Arial Unicode MS" w:cs="Arial Unicode MS"/>
        </w:rPr>
        <w:t>Studierend</w:t>
      </w:r>
      <w:r w:rsidR="005A2D2D">
        <w:rPr>
          <w:rFonts w:eastAsia="Arial Unicode MS" w:cs="Arial Unicode MS"/>
        </w:rPr>
        <w:t>e</w:t>
      </w:r>
      <w:r w:rsidR="00E20E20">
        <w:rPr>
          <w:rFonts w:eastAsia="Arial Unicode MS" w:cs="Arial Unicode MS"/>
        </w:rPr>
        <w:t>,  internationale Gäste und</w:t>
      </w:r>
      <w:r w:rsidR="005A2D2D">
        <w:rPr>
          <w:rFonts w:eastAsia="Arial Unicode MS" w:cs="Arial Unicode MS"/>
        </w:rPr>
        <w:t xml:space="preserve"> das Frankfurter Publikum </w:t>
      </w:r>
      <w:r w:rsidR="003646D8">
        <w:rPr>
          <w:rFonts w:eastAsia="Arial Unicode MS" w:cs="Arial Unicode MS"/>
        </w:rPr>
        <w:t>zur 3. Biennale Tanzausbil</w:t>
      </w:r>
      <w:r w:rsidR="008079EB">
        <w:rPr>
          <w:rFonts w:eastAsia="Arial Unicode MS" w:cs="Arial Unicode MS"/>
        </w:rPr>
        <w:t xml:space="preserve">dung 2012 </w:t>
      </w:r>
      <w:r w:rsidR="005A2D2D">
        <w:rPr>
          <w:rFonts w:eastAsia="Arial Unicode MS" w:cs="Arial Unicode MS"/>
        </w:rPr>
        <w:t>begrüßte.</w:t>
      </w:r>
    </w:p>
    <w:p w:rsidR="00C6368A" w:rsidRDefault="008079EB" w:rsidP="00500E99">
      <w:pPr>
        <w:spacing w:line="240" w:lineRule="auto"/>
        <w:ind w:right="709"/>
        <w:jc w:val="both"/>
        <w:rPr>
          <w:rFonts w:eastAsia="Arial Unicode MS" w:cs="Arial Unicode MS"/>
        </w:rPr>
      </w:pPr>
      <w:r>
        <w:rPr>
          <w:rFonts w:eastAsia="Arial Unicode MS" w:cs="Arial Unicode MS"/>
        </w:rPr>
        <w:t xml:space="preserve">An zwei Tagen zeigten </w:t>
      </w:r>
      <w:r w:rsidR="005A2D2D">
        <w:rPr>
          <w:rFonts w:eastAsia="Arial Unicode MS" w:cs="Arial Unicode MS"/>
        </w:rPr>
        <w:t xml:space="preserve">Tänzer/-innen der 8 nationalen Tanz-Ausbildungstätten aus Berlin, Dresden, Essen, Frankfurt, Hamburg, Köln, Mannheim </w:t>
      </w:r>
      <w:r>
        <w:rPr>
          <w:rFonts w:eastAsia="Arial Unicode MS" w:cs="Arial Unicode MS"/>
        </w:rPr>
        <w:t xml:space="preserve">was sie können. Sie </w:t>
      </w:r>
      <w:r w:rsidR="005A2D2D">
        <w:rPr>
          <w:rFonts w:eastAsia="Arial Unicode MS" w:cs="Arial Unicode MS"/>
        </w:rPr>
        <w:t>stellten sich</w:t>
      </w:r>
      <w:r>
        <w:rPr>
          <w:rFonts w:eastAsia="Arial Unicode MS" w:cs="Arial Unicode MS"/>
        </w:rPr>
        <w:t xml:space="preserve"> </w:t>
      </w:r>
      <w:r w:rsidR="005A2D2D">
        <w:rPr>
          <w:rFonts w:eastAsia="Arial Unicode MS" w:cs="Arial Unicode MS"/>
        </w:rPr>
        <w:t>mit jeweils 20-mi</w:t>
      </w:r>
      <w:r w:rsidR="00C6368A">
        <w:rPr>
          <w:rFonts w:eastAsia="Arial Unicode MS" w:cs="Arial Unicode MS"/>
        </w:rPr>
        <w:t>nütigen Präsentat</w:t>
      </w:r>
      <w:r w:rsidR="00C6368A">
        <w:rPr>
          <w:rFonts w:eastAsia="Arial Unicode MS" w:cs="Arial Unicode MS"/>
        </w:rPr>
        <w:t>i</w:t>
      </w:r>
      <w:r w:rsidR="00C6368A">
        <w:rPr>
          <w:rFonts w:eastAsia="Arial Unicode MS" w:cs="Arial Unicode MS"/>
        </w:rPr>
        <w:t>onen</w:t>
      </w:r>
      <w:r>
        <w:rPr>
          <w:rFonts w:eastAsia="Arial Unicode MS" w:cs="Arial Unicode MS"/>
        </w:rPr>
        <w:t xml:space="preserve"> vor. I</w:t>
      </w:r>
      <w:r w:rsidR="005A2D2D">
        <w:rPr>
          <w:rFonts w:eastAsia="Arial Unicode MS" w:cs="Arial Unicode MS"/>
        </w:rPr>
        <w:t>m Vorfeld</w:t>
      </w:r>
      <w:r>
        <w:rPr>
          <w:rFonts w:eastAsia="Arial Unicode MS" w:cs="Arial Unicode MS"/>
        </w:rPr>
        <w:t xml:space="preserve"> setzten sich  die Tänzer/-innen</w:t>
      </w:r>
      <w:r w:rsidR="005A2D2D">
        <w:rPr>
          <w:rFonts w:eastAsia="Arial Unicode MS" w:cs="Arial Unicode MS"/>
        </w:rPr>
        <w:t xml:space="preserve"> mit dem Motto der 3. Biennale „KulturErbe Tanz“ au</w:t>
      </w:r>
      <w:r w:rsidR="005A2D2D">
        <w:rPr>
          <w:rFonts w:eastAsia="Arial Unicode MS" w:cs="Arial Unicode MS"/>
        </w:rPr>
        <w:t>s</w:t>
      </w:r>
      <w:r w:rsidR="005A2D2D">
        <w:rPr>
          <w:rFonts w:eastAsia="Arial Unicode MS" w:cs="Arial Unicode MS"/>
        </w:rPr>
        <w:t>einander</w:t>
      </w:r>
      <w:r w:rsidR="00F94FD9">
        <w:rPr>
          <w:rFonts w:eastAsia="Arial Unicode MS" w:cs="Arial Unicode MS"/>
        </w:rPr>
        <w:t>.</w:t>
      </w:r>
      <w:r>
        <w:rPr>
          <w:rFonts w:eastAsia="Arial Unicode MS" w:cs="Arial Unicode MS"/>
        </w:rPr>
        <w:t xml:space="preserve">  In den verschiedenen Präsentationen spiegelte sich dieser Arbeitspro</w:t>
      </w:r>
      <w:r w:rsidR="00E20E20">
        <w:rPr>
          <w:rFonts w:eastAsia="Arial Unicode MS" w:cs="Arial Unicode MS"/>
        </w:rPr>
        <w:t xml:space="preserve">zess wider und zeigte sich das </w:t>
      </w:r>
      <w:r w:rsidR="002036BD">
        <w:rPr>
          <w:rFonts w:eastAsia="Arial Unicode MS" w:cs="Arial Unicode MS"/>
        </w:rPr>
        <w:t>breit gefächerte</w:t>
      </w:r>
      <w:r w:rsidR="00AA52E5">
        <w:rPr>
          <w:rFonts w:eastAsia="Arial Unicode MS" w:cs="Arial Unicode MS"/>
        </w:rPr>
        <w:t xml:space="preserve"> </w:t>
      </w:r>
      <w:r w:rsidR="00E20E20">
        <w:rPr>
          <w:rFonts w:eastAsia="Arial Unicode MS" w:cs="Arial Unicode MS"/>
        </w:rPr>
        <w:t xml:space="preserve">Spektrum praktizierter </w:t>
      </w:r>
      <w:r>
        <w:rPr>
          <w:rFonts w:eastAsia="Arial Unicode MS" w:cs="Arial Unicode MS"/>
        </w:rPr>
        <w:t xml:space="preserve"> Tanzformen.  </w:t>
      </w:r>
      <w:r w:rsidR="00C6368A">
        <w:rPr>
          <w:rFonts w:eastAsia="Arial Unicode MS" w:cs="Arial Unicode MS"/>
        </w:rPr>
        <w:t xml:space="preserve"> Das Publikum belohnte die enthusiastisch und konzentriert dargebotenen Aufführungen mit tosendem Applaus. </w:t>
      </w:r>
    </w:p>
    <w:p w:rsidR="00A14F9B" w:rsidRDefault="00142F34" w:rsidP="00142F34">
      <w:pPr>
        <w:autoSpaceDE w:val="0"/>
        <w:autoSpaceDN w:val="0"/>
        <w:adjustRightInd w:val="0"/>
        <w:spacing w:after="0" w:line="240" w:lineRule="auto"/>
        <w:ind w:right="709"/>
        <w:jc w:val="both"/>
        <w:rPr>
          <w:rFonts w:eastAsia="Arial Unicode MS" w:cs="Arial Unicode MS"/>
        </w:rPr>
      </w:pPr>
      <w:r>
        <w:rPr>
          <w:rFonts w:eastAsia="Arial Unicode MS" w:cs="Arial Unicode MS"/>
        </w:rPr>
        <w:t xml:space="preserve">Am </w:t>
      </w:r>
      <w:r w:rsidRPr="00AA52E5">
        <w:rPr>
          <w:rFonts w:eastAsia="Arial Unicode MS" w:cs="Arial Unicode MS"/>
          <w:b/>
        </w:rPr>
        <w:t>Samstag, 10.3. startet die</w:t>
      </w:r>
      <w:r w:rsidR="00E20E20" w:rsidRPr="00AA52E5">
        <w:rPr>
          <w:rFonts w:eastAsia="Arial Unicode MS" w:cs="Arial Unicode MS"/>
          <w:b/>
        </w:rPr>
        <w:t xml:space="preserve"> 2</w:t>
      </w:r>
      <w:r w:rsidR="00AA52E5">
        <w:rPr>
          <w:rFonts w:eastAsia="Arial Unicode MS" w:cs="Arial Unicode MS"/>
          <w:b/>
        </w:rPr>
        <w:t>-</w:t>
      </w:r>
      <w:r w:rsidR="00E20E20" w:rsidRPr="00AA52E5">
        <w:rPr>
          <w:rFonts w:eastAsia="Arial Unicode MS" w:cs="Arial Unicode MS"/>
          <w:b/>
        </w:rPr>
        <w:t>tägige</w:t>
      </w:r>
      <w:r w:rsidR="003646D8" w:rsidRPr="00AA52E5">
        <w:rPr>
          <w:rFonts w:eastAsia="Arial Unicode MS" w:cs="Arial Unicode MS"/>
          <w:b/>
        </w:rPr>
        <w:t xml:space="preserve"> </w:t>
      </w:r>
      <w:r w:rsidR="00C6368A" w:rsidRPr="00AA52E5">
        <w:rPr>
          <w:rFonts w:eastAsia="Arial Unicode MS" w:cs="Arial Unicode MS"/>
          <w:b/>
        </w:rPr>
        <w:t>Fachtagung zum Thema „KulturErbe Tanz</w:t>
      </w:r>
      <w:r>
        <w:rPr>
          <w:rFonts w:eastAsia="Arial Unicode MS" w:cs="Arial Unicode MS"/>
        </w:rPr>
        <w:t xml:space="preserve">. Sie findet in der </w:t>
      </w:r>
      <w:r w:rsidR="003646D8">
        <w:rPr>
          <w:rFonts w:eastAsia="Arial Unicode MS" w:cs="Arial Unicode MS"/>
        </w:rPr>
        <w:t>Hoc</w:t>
      </w:r>
      <w:r w:rsidR="003646D8">
        <w:rPr>
          <w:rFonts w:eastAsia="Arial Unicode MS" w:cs="Arial Unicode MS"/>
        </w:rPr>
        <w:t>h</w:t>
      </w:r>
      <w:r w:rsidR="003646D8">
        <w:rPr>
          <w:rFonts w:eastAsia="Arial Unicode MS" w:cs="Arial Unicode MS"/>
        </w:rPr>
        <w:t>schule für Musik und Darstellende Kunst</w:t>
      </w:r>
      <w:r w:rsidR="00AA52E5">
        <w:rPr>
          <w:rFonts w:eastAsia="Arial Unicode MS" w:cs="Arial Unicode MS"/>
        </w:rPr>
        <w:t xml:space="preserve"> sowie</w:t>
      </w:r>
      <w:r w:rsidR="00E20E20">
        <w:rPr>
          <w:rFonts w:eastAsia="Arial Unicode MS" w:cs="Arial Unicode MS"/>
        </w:rPr>
        <w:t xml:space="preserve"> im Frankfurt LAB statt</w:t>
      </w:r>
      <w:r w:rsidR="00A14F9B">
        <w:rPr>
          <w:rFonts w:eastAsia="Arial Unicode MS" w:cs="Arial Unicode MS"/>
        </w:rPr>
        <w:t xml:space="preserve">. Es gibt </w:t>
      </w:r>
      <w:r w:rsidRPr="00500E99">
        <w:rPr>
          <w:rFonts w:eastAsia="Arial Unicode MS" w:cs="Arial Unicode MS"/>
        </w:rPr>
        <w:t xml:space="preserve"> international besetz</w:t>
      </w:r>
      <w:r w:rsidR="00A14F9B">
        <w:rPr>
          <w:rFonts w:eastAsia="Arial Unicode MS" w:cs="Arial Unicode MS"/>
        </w:rPr>
        <w:t>te</w:t>
      </w:r>
      <w:r w:rsidRPr="00500E99">
        <w:rPr>
          <w:rFonts w:eastAsia="Arial Unicode MS" w:cs="Arial Unicode MS"/>
        </w:rPr>
        <w:t xml:space="preserve"> Panels, Vorträ</w:t>
      </w:r>
      <w:r w:rsidR="00A14F9B">
        <w:rPr>
          <w:rFonts w:eastAsia="Arial Unicode MS" w:cs="Arial Unicode MS"/>
        </w:rPr>
        <w:t>ge</w:t>
      </w:r>
      <w:r w:rsidRPr="00500E99">
        <w:rPr>
          <w:rFonts w:eastAsia="Arial Unicode MS" w:cs="Arial Unicode MS"/>
        </w:rPr>
        <w:t xml:space="preserve"> und künstle</w:t>
      </w:r>
      <w:r w:rsidR="00A14F9B">
        <w:rPr>
          <w:rFonts w:eastAsia="Arial Unicode MS" w:cs="Arial Unicode MS"/>
        </w:rPr>
        <w:t>rische Beiträge</w:t>
      </w:r>
      <w:r>
        <w:rPr>
          <w:rFonts w:eastAsia="Arial Unicode MS" w:cs="Arial Unicode MS"/>
        </w:rPr>
        <w:t>.</w:t>
      </w:r>
      <w:r w:rsidRPr="00500E99">
        <w:rPr>
          <w:rFonts w:eastAsia="Arial Unicode MS" w:cs="Arial Unicode MS"/>
        </w:rPr>
        <w:t xml:space="preserve"> Gespräche über die Dokumentationsmöglichkeiten von Tanz gehören ebenso dazu, wie der Einsatz von Digital Tools in der Tanzausbildung, Erfahrungsberichte international a</w:t>
      </w:r>
      <w:r w:rsidRPr="00500E99">
        <w:rPr>
          <w:rFonts w:eastAsia="Arial Unicode MS" w:cs="Arial Unicode MS"/>
        </w:rPr>
        <w:t>r</w:t>
      </w:r>
      <w:r w:rsidRPr="00500E99">
        <w:rPr>
          <w:rFonts w:eastAsia="Arial Unicode MS" w:cs="Arial Unicode MS"/>
        </w:rPr>
        <w:t>beitender Choreo</w:t>
      </w:r>
      <w:r w:rsidR="00AA52E5">
        <w:rPr>
          <w:rFonts w:eastAsia="Arial Unicode MS" w:cs="Arial Unicode MS"/>
        </w:rPr>
        <w:t>graf</w:t>
      </w:r>
      <w:r w:rsidRPr="00500E99">
        <w:rPr>
          <w:rFonts w:eastAsia="Arial Unicode MS" w:cs="Arial Unicode MS"/>
        </w:rPr>
        <w:t>en, Diskussionen über neue Produktionsweisen und die Hinterfragung des bestehe</w:t>
      </w:r>
      <w:r w:rsidRPr="00500E99">
        <w:rPr>
          <w:rFonts w:eastAsia="Arial Unicode MS" w:cs="Arial Unicode MS"/>
        </w:rPr>
        <w:t>n</w:t>
      </w:r>
      <w:r w:rsidRPr="00500E99">
        <w:rPr>
          <w:rFonts w:eastAsia="Arial Unicode MS" w:cs="Arial Unicode MS"/>
        </w:rPr>
        <w:t>den Wissenschaftsverständnisses in Bezug auf das KörperWissen.</w:t>
      </w:r>
      <w:r>
        <w:rPr>
          <w:rFonts w:eastAsia="Arial Unicode MS" w:cs="Arial Unicode MS"/>
        </w:rPr>
        <w:t xml:space="preserve"> </w:t>
      </w:r>
      <w:r w:rsidR="00A14F9B">
        <w:rPr>
          <w:rFonts w:eastAsia="Arial Unicode MS" w:cs="Arial Unicode MS"/>
        </w:rPr>
        <w:t>Es werden Referenten aus den USA, Aus</w:t>
      </w:r>
      <w:r w:rsidR="00A14F9B">
        <w:rPr>
          <w:rFonts w:eastAsia="Arial Unicode MS" w:cs="Arial Unicode MS"/>
        </w:rPr>
        <w:t>t</w:t>
      </w:r>
      <w:r w:rsidR="00A14F9B">
        <w:rPr>
          <w:rFonts w:eastAsia="Arial Unicode MS" w:cs="Arial Unicode MS"/>
        </w:rPr>
        <w:t xml:space="preserve">ralien und </w:t>
      </w:r>
      <w:r w:rsidR="00EE7402">
        <w:rPr>
          <w:rFonts w:eastAsia="Arial Unicode MS" w:cs="Arial Unicode MS"/>
        </w:rPr>
        <w:t xml:space="preserve">anderen europäischen Ländern </w:t>
      </w:r>
      <w:r w:rsidR="00A14F9B">
        <w:rPr>
          <w:rFonts w:eastAsia="Arial Unicode MS" w:cs="Arial Unicode MS"/>
        </w:rPr>
        <w:t>diskutieren und Vorträge halten.</w:t>
      </w:r>
    </w:p>
    <w:p w:rsidR="00A14F9B" w:rsidRDefault="00A14F9B" w:rsidP="00142F34">
      <w:pPr>
        <w:autoSpaceDE w:val="0"/>
        <w:autoSpaceDN w:val="0"/>
        <w:adjustRightInd w:val="0"/>
        <w:spacing w:after="0" w:line="240" w:lineRule="auto"/>
        <w:ind w:right="709"/>
        <w:jc w:val="both"/>
        <w:rPr>
          <w:rFonts w:eastAsia="Arial Unicode MS" w:cs="Arial Unicode MS"/>
        </w:rPr>
      </w:pPr>
    </w:p>
    <w:p w:rsidR="00C6368A" w:rsidRDefault="00EE7402" w:rsidP="00142F34">
      <w:pPr>
        <w:autoSpaceDE w:val="0"/>
        <w:autoSpaceDN w:val="0"/>
        <w:adjustRightInd w:val="0"/>
        <w:spacing w:after="0" w:line="240" w:lineRule="auto"/>
        <w:ind w:right="709"/>
        <w:jc w:val="both"/>
        <w:rPr>
          <w:rFonts w:eastAsia="Arial Unicode MS" w:cs="Arial Unicode MS"/>
        </w:rPr>
      </w:pPr>
      <w:r>
        <w:rPr>
          <w:rFonts w:eastAsia="Arial Unicode MS" w:cs="Arial Unicode MS"/>
        </w:rPr>
        <w:t xml:space="preserve">Die Tagung ist </w:t>
      </w:r>
      <w:r w:rsidR="003646D8">
        <w:rPr>
          <w:rFonts w:eastAsia="Arial Unicode MS" w:cs="Arial Unicode MS"/>
        </w:rPr>
        <w:t>offen</w:t>
      </w:r>
      <w:r>
        <w:rPr>
          <w:rFonts w:eastAsia="Arial Unicode MS" w:cs="Arial Unicode MS"/>
        </w:rPr>
        <w:t xml:space="preserve"> für alle – bei freiem Eintritt.</w:t>
      </w:r>
      <w:r w:rsidR="00F94FD9">
        <w:rPr>
          <w:rFonts w:eastAsia="Arial Unicode MS" w:cs="Arial Unicode MS"/>
        </w:rPr>
        <w:t xml:space="preserve"> </w:t>
      </w:r>
    </w:p>
    <w:p w:rsidR="00F94FD9" w:rsidRDefault="00F94FD9" w:rsidP="00142F34">
      <w:pPr>
        <w:autoSpaceDE w:val="0"/>
        <w:autoSpaceDN w:val="0"/>
        <w:adjustRightInd w:val="0"/>
        <w:spacing w:after="0" w:line="240" w:lineRule="auto"/>
        <w:ind w:right="709"/>
        <w:jc w:val="both"/>
        <w:rPr>
          <w:rFonts w:eastAsia="Arial Unicode MS" w:cs="Arial Unicode MS"/>
        </w:rPr>
      </w:pPr>
    </w:p>
    <w:p w:rsidR="00142F34" w:rsidRPr="00500E99" w:rsidRDefault="00142F34" w:rsidP="00142F34">
      <w:pPr>
        <w:autoSpaceDE w:val="0"/>
        <w:autoSpaceDN w:val="0"/>
        <w:adjustRightInd w:val="0"/>
        <w:spacing w:after="0" w:line="240" w:lineRule="auto"/>
        <w:ind w:right="709"/>
        <w:jc w:val="both"/>
        <w:rPr>
          <w:rFonts w:eastAsia="Arial Unicode MS" w:cs="Arial Unicode MS"/>
        </w:rPr>
      </w:pPr>
      <w:r w:rsidRPr="00500E99">
        <w:rPr>
          <w:rFonts w:eastAsia="Arial Unicode MS" w:cs="Arial Unicode MS"/>
        </w:rPr>
        <w:t>Die 3. Biennale Tanzausbildung ist ein Projekt der Ausbildungskonferenz Tanz, veranstaltet von der Hoc</w:t>
      </w:r>
      <w:r w:rsidRPr="00500E99">
        <w:rPr>
          <w:rFonts w:eastAsia="Arial Unicode MS" w:cs="Arial Unicode MS"/>
        </w:rPr>
        <w:t>h</w:t>
      </w:r>
      <w:r w:rsidRPr="00500E99">
        <w:rPr>
          <w:rFonts w:eastAsia="Arial Unicode MS" w:cs="Arial Unicode MS"/>
        </w:rPr>
        <w:t>schule für Musik und Darstellende Kunst Frankfurt am Main, gefördert durch das Bundesministerium für Bildung und Forschung.</w:t>
      </w:r>
    </w:p>
    <w:p w:rsidR="00142F34" w:rsidRPr="00500E99" w:rsidRDefault="00142F34" w:rsidP="00142F34">
      <w:pPr>
        <w:autoSpaceDE w:val="0"/>
        <w:autoSpaceDN w:val="0"/>
        <w:adjustRightInd w:val="0"/>
        <w:spacing w:after="0" w:line="220" w:lineRule="exact"/>
        <w:ind w:right="709"/>
        <w:jc w:val="both"/>
        <w:rPr>
          <w:rFonts w:eastAsia="Arial Unicode MS" w:cs="Arial Unicode MS"/>
        </w:rPr>
      </w:pPr>
    </w:p>
    <w:p w:rsidR="00142F34" w:rsidRPr="00500E99" w:rsidRDefault="00142F34" w:rsidP="00142F34">
      <w:pPr>
        <w:autoSpaceDE w:val="0"/>
        <w:autoSpaceDN w:val="0"/>
        <w:adjustRightInd w:val="0"/>
        <w:spacing w:after="0"/>
        <w:ind w:right="709"/>
        <w:jc w:val="both"/>
        <w:rPr>
          <w:rFonts w:eastAsia="Arial Unicode MS" w:cs="Arial Unicode MS"/>
          <w:b/>
          <w:color w:val="31849B" w:themeColor="accent5" w:themeShade="BF"/>
        </w:rPr>
      </w:pPr>
      <w:r w:rsidRPr="00500E99">
        <w:rPr>
          <w:rFonts w:eastAsia="Arial Unicode MS" w:cs="Arial Unicode MS"/>
          <w:b/>
          <w:color w:val="31849B" w:themeColor="accent5" w:themeShade="BF"/>
        </w:rPr>
        <w:t xml:space="preserve">Pressekontakt </w:t>
      </w:r>
      <w:r w:rsidRPr="00500E99">
        <w:rPr>
          <w:rFonts w:eastAsia="Arial Unicode MS" w:cs="Arial Unicode MS"/>
        </w:rPr>
        <w:t>3. Biennale Tanzausbildung 2012 Frankfurt am Main</w:t>
      </w:r>
    </w:p>
    <w:p w:rsidR="00142F34" w:rsidRDefault="00142F34" w:rsidP="00142F34">
      <w:pPr>
        <w:autoSpaceDE w:val="0"/>
        <w:autoSpaceDN w:val="0"/>
        <w:adjustRightInd w:val="0"/>
        <w:spacing w:after="0"/>
        <w:ind w:right="709"/>
        <w:jc w:val="both"/>
        <w:rPr>
          <w:rFonts w:eastAsia="Arial Unicode MS" w:cs="Arial Unicode MS"/>
          <w:color w:val="000000"/>
        </w:rPr>
      </w:pPr>
      <w:r w:rsidRPr="00500E99">
        <w:rPr>
          <w:rFonts w:eastAsia="Arial Unicode MS" w:cs="Arial Unicode MS"/>
          <w:color w:val="000000"/>
        </w:rPr>
        <w:t xml:space="preserve">Angelika Ludwig </w:t>
      </w:r>
      <w:r w:rsidRPr="00FC1A61">
        <w:rPr>
          <w:rFonts w:eastAsia="Arial Unicode MS" w:cs="Arial Unicode MS"/>
        </w:rPr>
        <w:t xml:space="preserve">_ </w:t>
      </w:r>
      <w:hyperlink r:id="rId7" w:history="1">
        <w:r w:rsidRPr="00FC1A61">
          <w:rPr>
            <w:rStyle w:val="Hyperlink"/>
            <w:rFonts w:eastAsia="Arial Unicode MS" w:cs="Arial Unicode MS"/>
            <w:color w:val="auto"/>
            <w:u w:val="none"/>
          </w:rPr>
          <w:t>mail@kultur-scout.de</w:t>
        </w:r>
      </w:hyperlink>
      <w:r w:rsidR="00A14F9B">
        <w:rPr>
          <w:rFonts w:eastAsia="Arial Unicode MS" w:cs="Arial Unicode MS"/>
          <w:color w:val="000000"/>
        </w:rPr>
        <w:t xml:space="preserve">  _ 0170 8012590</w:t>
      </w:r>
    </w:p>
    <w:p w:rsidR="00142F34" w:rsidRPr="00FC1A61" w:rsidRDefault="00142F34" w:rsidP="00142F34">
      <w:pPr>
        <w:autoSpaceDE w:val="0"/>
        <w:autoSpaceDN w:val="0"/>
        <w:adjustRightInd w:val="0"/>
        <w:spacing w:after="0"/>
        <w:ind w:right="709"/>
        <w:jc w:val="both"/>
        <w:rPr>
          <w:rFonts w:eastAsia="Arial Unicode MS" w:cs="Arial Unicode MS"/>
          <w:b/>
          <w:color w:val="31849B" w:themeColor="accent5" w:themeShade="BF"/>
        </w:rPr>
      </w:pPr>
      <w:r w:rsidRPr="00FC1A61">
        <w:rPr>
          <w:rFonts w:cs="Arial"/>
          <w:u w:val="single"/>
        </w:rPr>
        <w:t>www.biennale-tanzausbildung.de</w:t>
      </w:r>
      <w:r w:rsidR="00A14F9B">
        <w:t xml:space="preserve">   </w:t>
      </w:r>
      <w:r w:rsidRPr="00FC1A61">
        <w:rPr>
          <w:b/>
          <w:color w:val="31849B" w:themeColor="accent5" w:themeShade="BF"/>
        </w:rPr>
        <w:t xml:space="preserve"> </w:t>
      </w:r>
    </w:p>
    <w:p w:rsidR="00142F34" w:rsidRDefault="00142F34" w:rsidP="00500E99">
      <w:pPr>
        <w:spacing w:line="240" w:lineRule="auto"/>
        <w:ind w:right="709"/>
        <w:jc w:val="both"/>
        <w:rPr>
          <w:rFonts w:eastAsia="Arial Unicode MS" w:cs="Arial Unicode MS"/>
        </w:rPr>
      </w:pPr>
    </w:p>
    <w:p w:rsidR="00A14F9B" w:rsidRDefault="00F94FD9" w:rsidP="00500E99">
      <w:pPr>
        <w:spacing w:line="240" w:lineRule="auto"/>
        <w:ind w:right="709"/>
        <w:jc w:val="both"/>
        <w:rPr>
          <w:rFonts w:eastAsia="Arial Unicode MS" w:cs="Arial Unicode MS"/>
        </w:rPr>
      </w:pPr>
      <w:r>
        <w:rPr>
          <w:rFonts w:eastAsia="Arial Unicode MS" w:cs="Arial Unicode MS"/>
        </w:rPr>
        <w:t>Zitat:</w:t>
      </w:r>
    </w:p>
    <w:p w:rsidR="00500E99" w:rsidRPr="00500E99" w:rsidRDefault="00A14F9B" w:rsidP="00500E99">
      <w:pPr>
        <w:spacing w:line="240" w:lineRule="auto"/>
        <w:ind w:right="709"/>
        <w:jc w:val="both"/>
        <w:rPr>
          <w:rFonts w:eastAsia="Arial Unicode MS" w:cs="Arial Unicode MS"/>
        </w:rPr>
      </w:pPr>
      <w:r>
        <w:rPr>
          <w:rFonts w:eastAsia="Arial Unicode MS" w:cs="Arial Unicode MS"/>
        </w:rPr>
        <w:t xml:space="preserve"> </w:t>
      </w:r>
      <w:r w:rsidR="00142F34">
        <w:rPr>
          <w:rFonts w:eastAsia="Arial Unicode MS" w:cs="Arial Unicode MS"/>
          <w:i/>
        </w:rPr>
        <w:t>„</w:t>
      </w:r>
      <w:r w:rsidR="00500E99" w:rsidRPr="00500E99">
        <w:rPr>
          <w:rFonts w:eastAsia="Arial Unicode MS" w:cs="Arial Unicode MS"/>
          <w:i/>
        </w:rPr>
        <w:t>Das Wissen über Tanz und Tanzgeschichte wächst beständig und langsam aber sicher wird das gesel</w:t>
      </w:r>
      <w:r w:rsidR="00500E99" w:rsidRPr="00500E99">
        <w:rPr>
          <w:rFonts w:eastAsia="Arial Unicode MS" w:cs="Arial Unicode MS"/>
          <w:i/>
        </w:rPr>
        <w:t>l</w:t>
      </w:r>
      <w:r w:rsidR="00500E99" w:rsidRPr="00500E99">
        <w:rPr>
          <w:rFonts w:eastAsia="Arial Unicode MS" w:cs="Arial Unicode MS"/>
          <w:i/>
        </w:rPr>
        <w:t xml:space="preserve">schaftliche Potential von Tanz für die kulturelle und ästhetische Bildung und die Beiträge des Tanzes zu künstlerischer Forschung auch von der Kulturpolitik wahrgenommen. Um diesen Prozess zu unterstützen und zu beschleunigen richtet die 3. Biennale Tanzausbildung 2012 Frankfurt am Main den Fokus auf das «KulturErbe Tanz»“. </w:t>
      </w:r>
      <w:r w:rsidR="00500E99" w:rsidRPr="00500E99">
        <w:rPr>
          <w:rFonts w:eastAsia="Arial Unicode MS" w:cs="Arial Unicode MS"/>
        </w:rPr>
        <w:t>Prof Dieter Heitkamp, Künstlerischer Leiter 3.Biennale Tanzausbildung</w:t>
      </w:r>
    </w:p>
    <w:sectPr w:rsidR="00500E99" w:rsidRPr="00500E99" w:rsidSect="00AF1C8D">
      <w:headerReference w:type="default" r:id="rId8"/>
      <w:pgSz w:w="11906" w:h="16838"/>
      <w:pgMar w:top="3224" w:right="707" w:bottom="284" w:left="851"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70" w:rsidRDefault="00E90470" w:rsidP="00612FB9">
      <w:pPr>
        <w:spacing w:after="0" w:line="240" w:lineRule="auto"/>
      </w:pPr>
      <w:r>
        <w:separator/>
      </w:r>
    </w:p>
  </w:endnote>
  <w:endnote w:type="continuationSeparator" w:id="0">
    <w:p w:rsidR="00E90470" w:rsidRDefault="00E90470" w:rsidP="00612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70" w:rsidRDefault="00E90470" w:rsidP="00612FB9">
      <w:pPr>
        <w:spacing w:after="0" w:line="240" w:lineRule="auto"/>
      </w:pPr>
      <w:r>
        <w:separator/>
      </w:r>
    </w:p>
  </w:footnote>
  <w:footnote w:type="continuationSeparator" w:id="0">
    <w:p w:rsidR="00E90470" w:rsidRDefault="00E90470" w:rsidP="00612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15B" w:rsidRDefault="00DA615B">
    <w:pPr>
      <w:pStyle w:val="Kopfzeile"/>
    </w:pPr>
    <w:r>
      <w:rPr>
        <w:noProof/>
        <w:lang w:eastAsia="de-DE"/>
      </w:rPr>
      <w:drawing>
        <wp:anchor distT="0" distB="0" distL="114300" distR="114300" simplePos="0" relativeHeight="251659264" behindDoc="0" locked="1" layoutInCell="1" allowOverlap="1">
          <wp:simplePos x="0" y="0"/>
          <wp:positionH relativeFrom="page">
            <wp:posOffset>5407025</wp:posOffset>
          </wp:positionH>
          <wp:positionV relativeFrom="page">
            <wp:posOffset>651510</wp:posOffset>
          </wp:positionV>
          <wp:extent cx="1239520" cy="1235710"/>
          <wp:effectExtent l="1905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nale-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tretch>
                    <a:fillRect/>
                  </a:stretch>
                </pic:blipFill>
                <pic:spPr>
                  <a:xfrm>
                    <a:off x="0" y="0"/>
                    <a:ext cx="1239520" cy="123571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autoHyphenation/>
  <w:hyphenationZone w:val="425"/>
  <w:characterSpacingControl w:val="doNotCompress"/>
  <w:hdrShapeDefaults>
    <o:shapedefaults v:ext="edit" spidmax="66562"/>
  </w:hdrShapeDefaults>
  <w:footnotePr>
    <w:footnote w:id="-1"/>
    <w:footnote w:id="0"/>
  </w:footnotePr>
  <w:endnotePr>
    <w:endnote w:id="-1"/>
    <w:endnote w:id="0"/>
  </w:endnotePr>
  <w:compat/>
  <w:rsids>
    <w:rsidRoot w:val="003D67A2"/>
    <w:rsid w:val="00002950"/>
    <w:rsid w:val="000048EE"/>
    <w:rsid w:val="00014EF4"/>
    <w:rsid w:val="00046059"/>
    <w:rsid w:val="00054059"/>
    <w:rsid w:val="00056EEE"/>
    <w:rsid w:val="00070B2E"/>
    <w:rsid w:val="000901C6"/>
    <w:rsid w:val="000B5A43"/>
    <w:rsid w:val="00101BAB"/>
    <w:rsid w:val="00142F34"/>
    <w:rsid w:val="00172773"/>
    <w:rsid w:val="0017715C"/>
    <w:rsid w:val="00187CA0"/>
    <w:rsid w:val="001E58BF"/>
    <w:rsid w:val="002036BD"/>
    <w:rsid w:val="002447AA"/>
    <w:rsid w:val="0028682F"/>
    <w:rsid w:val="002A1769"/>
    <w:rsid w:val="002C4F35"/>
    <w:rsid w:val="002E6B7F"/>
    <w:rsid w:val="002E7102"/>
    <w:rsid w:val="002F077C"/>
    <w:rsid w:val="003646D8"/>
    <w:rsid w:val="00366258"/>
    <w:rsid w:val="003B522F"/>
    <w:rsid w:val="003C0608"/>
    <w:rsid w:val="003D67A2"/>
    <w:rsid w:val="00414017"/>
    <w:rsid w:val="004479D1"/>
    <w:rsid w:val="0045732C"/>
    <w:rsid w:val="00497616"/>
    <w:rsid w:val="004A33C4"/>
    <w:rsid w:val="004C5374"/>
    <w:rsid w:val="004C64B3"/>
    <w:rsid w:val="004F0BC3"/>
    <w:rsid w:val="00500E99"/>
    <w:rsid w:val="00504296"/>
    <w:rsid w:val="00514762"/>
    <w:rsid w:val="00592334"/>
    <w:rsid w:val="005A2D2D"/>
    <w:rsid w:val="005A39AF"/>
    <w:rsid w:val="005A3C44"/>
    <w:rsid w:val="005F14C9"/>
    <w:rsid w:val="0060721E"/>
    <w:rsid w:val="00612FB9"/>
    <w:rsid w:val="006159EC"/>
    <w:rsid w:val="00633608"/>
    <w:rsid w:val="006447AF"/>
    <w:rsid w:val="00661B34"/>
    <w:rsid w:val="00662285"/>
    <w:rsid w:val="00693BE4"/>
    <w:rsid w:val="006B1680"/>
    <w:rsid w:val="006B414D"/>
    <w:rsid w:val="006B493D"/>
    <w:rsid w:val="006F5B2C"/>
    <w:rsid w:val="0071458E"/>
    <w:rsid w:val="00724676"/>
    <w:rsid w:val="00786B49"/>
    <w:rsid w:val="00794BCE"/>
    <w:rsid w:val="007A1529"/>
    <w:rsid w:val="007A37E0"/>
    <w:rsid w:val="007A38DB"/>
    <w:rsid w:val="007A73DA"/>
    <w:rsid w:val="007B4BD9"/>
    <w:rsid w:val="007C008E"/>
    <w:rsid w:val="008079EB"/>
    <w:rsid w:val="0086474A"/>
    <w:rsid w:val="00885903"/>
    <w:rsid w:val="008947DA"/>
    <w:rsid w:val="008D5817"/>
    <w:rsid w:val="008E4534"/>
    <w:rsid w:val="00940AA4"/>
    <w:rsid w:val="009511EA"/>
    <w:rsid w:val="0095784C"/>
    <w:rsid w:val="00957FB4"/>
    <w:rsid w:val="009C6A13"/>
    <w:rsid w:val="009D2754"/>
    <w:rsid w:val="009E7910"/>
    <w:rsid w:val="009F67ED"/>
    <w:rsid w:val="00A14F9B"/>
    <w:rsid w:val="00A27848"/>
    <w:rsid w:val="00A542C0"/>
    <w:rsid w:val="00A61EA9"/>
    <w:rsid w:val="00A74D0C"/>
    <w:rsid w:val="00AA4B9A"/>
    <w:rsid w:val="00AA52E5"/>
    <w:rsid w:val="00AB3935"/>
    <w:rsid w:val="00AF1C8D"/>
    <w:rsid w:val="00AF7B61"/>
    <w:rsid w:val="00B30140"/>
    <w:rsid w:val="00B55523"/>
    <w:rsid w:val="00B70A29"/>
    <w:rsid w:val="00B7792C"/>
    <w:rsid w:val="00B83A82"/>
    <w:rsid w:val="00BA07A8"/>
    <w:rsid w:val="00BA1648"/>
    <w:rsid w:val="00BB1A7F"/>
    <w:rsid w:val="00C00459"/>
    <w:rsid w:val="00C13FCA"/>
    <w:rsid w:val="00C27602"/>
    <w:rsid w:val="00C6368A"/>
    <w:rsid w:val="00CD05F9"/>
    <w:rsid w:val="00D03ED8"/>
    <w:rsid w:val="00D076BB"/>
    <w:rsid w:val="00D51F9B"/>
    <w:rsid w:val="00D532E9"/>
    <w:rsid w:val="00D553BE"/>
    <w:rsid w:val="00D609CC"/>
    <w:rsid w:val="00D8709B"/>
    <w:rsid w:val="00D957F0"/>
    <w:rsid w:val="00DA615B"/>
    <w:rsid w:val="00DC0D69"/>
    <w:rsid w:val="00DF09F7"/>
    <w:rsid w:val="00E174BA"/>
    <w:rsid w:val="00E20E20"/>
    <w:rsid w:val="00E21020"/>
    <w:rsid w:val="00E62478"/>
    <w:rsid w:val="00E77B6D"/>
    <w:rsid w:val="00E90470"/>
    <w:rsid w:val="00EE06BB"/>
    <w:rsid w:val="00EE7402"/>
    <w:rsid w:val="00EF55F9"/>
    <w:rsid w:val="00F45A11"/>
    <w:rsid w:val="00F94FD9"/>
    <w:rsid w:val="00FC1A61"/>
    <w:rsid w:val="00FD2C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2F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2FB9"/>
  </w:style>
  <w:style w:type="paragraph" w:styleId="Fuzeile">
    <w:name w:val="footer"/>
    <w:basedOn w:val="Standard"/>
    <w:link w:val="FuzeileZchn"/>
    <w:uiPriority w:val="99"/>
    <w:unhideWhenUsed/>
    <w:rsid w:val="00612F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2FB9"/>
  </w:style>
  <w:style w:type="paragraph" w:styleId="Sprechblasentext">
    <w:name w:val="Balloon Text"/>
    <w:basedOn w:val="Standard"/>
    <w:link w:val="SprechblasentextZchn"/>
    <w:uiPriority w:val="99"/>
    <w:semiHidden/>
    <w:unhideWhenUsed/>
    <w:rsid w:val="00612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2FB9"/>
    <w:rPr>
      <w:rFonts w:ascii="Tahoma" w:hAnsi="Tahoma" w:cs="Tahoma"/>
      <w:sz w:val="16"/>
      <w:szCs w:val="16"/>
    </w:rPr>
  </w:style>
  <w:style w:type="paragraph" w:customStyle="1" w:styleId="Default">
    <w:name w:val="Default"/>
    <w:rsid w:val="000460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nhideWhenUsed/>
    <w:rsid w:val="00046059"/>
    <w:rPr>
      <w:color w:val="0000FF" w:themeColor="hyperlink"/>
      <w:u w:val="single"/>
    </w:rPr>
  </w:style>
  <w:style w:type="character" w:styleId="BesuchterHyperlink">
    <w:name w:val="FollowedHyperlink"/>
    <w:basedOn w:val="Absatz-Standardschriftart"/>
    <w:uiPriority w:val="99"/>
    <w:semiHidden/>
    <w:unhideWhenUsed/>
    <w:rsid w:val="00DF09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8031244">
      <w:bodyDiv w:val="1"/>
      <w:marLeft w:val="0"/>
      <w:marRight w:val="0"/>
      <w:marTop w:val="0"/>
      <w:marBottom w:val="0"/>
      <w:divBdr>
        <w:top w:val="none" w:sz="0" w:space="0" w:color="auto"/>
        <w:left w:val="none" w:sz="0" w:space="0" w:color="auto"/>
        <w:bottom w:val="none" w:sz="0" w:space="0" w:color="auto"/>
        <w:right w:val="none" w:sz="0" w:space="0" w:color="auto"/>
      </w:divBdr>
    </w:div>
    <w:div w:id="316811740">
      <w:bodyDiv w:val="1"/>
      <w:marLeft w:val="0"/>
      <w:marRight w:val="0"/>
      <w:marTop w:val="0"/>
      <w:marBottom w:val="0"/>
      <w:divBdr>
        <w:top w:val="none" w:sz="0" w:space="0" w:color="auto"/>
        <w:left w:val="none" w:sz="0" w:space="0" w:color="auto"/>
        <w:bottom w:val="none" w:sz="0" w:space="0" w:color="auto"/>
        <w:right w:val="none" w:sz="0" w:space="0" w:color="auto"/>
      </w:divBdr>
    </w:div>
    <w:div w:id="706294371">
      <w:bodyDiv w:val="1"/>
      <w:marLeft w:val="0"/>
      <w:marRight w:val="0"/>
      <w:marTop w:val="0"/>
      <w:marBottom w:val="0"/>
      <w:divBdr>
        <w:top w:val="none" w:sz="0" w:space="0" w:color="auto"/>
        <w:left w:val="none" w:sz="0" w:space="0" w:color="auto"/>
        <w:bottom w:val="none" w:sz="0" w:space="0" w:color="auto"/>
        <w:right w:val="none" w:sz="0" w:space="0" w:color="auto"/>
      </w:divBdr>
    </w:div>
    <w:div w:id="899370099">
      <w:bodyDiv w:val="1"/>
      <w:marLeft w:val="0"/>
      <w:marRight w:val="0"/>
      <w:marTop w:val="0"/>
      <w:marBottom w:val="0"/>
      <w:divBdr>
        <w:top w:val="none" w:sz="0" w:space="0" w:color="auto"/>
        <w:left w:val="none" w:sz="0" w:space="0" w:color="auto"/>
        <w:bottom w:val="none" w:sz="0" w:space="0" w:color="auto"/>
        <w:right w:val="none" w:sz="0" w:space="0" w:color="auto"/>
      </w:divBdr>
    </w:div>
    <w:div w:id="21056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il@kultur-scou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Ludwig\LOKALE~1\Temp\Brief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Briefvorlage1</Template>
  <TotalTime>0</TotalTime>
  <Pages>1</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BLANCO GmbH + Co KG</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dc:creator>
  <cp:lastModifiedBy>ludwig</cp:lastModifiedBy>
  <cp:revision>3</cp:revision>
  <cp:lastPrinted>2012-01-09T14:18:00Z</cp:lastPrinted>
  <dcterms:created xsi:type="dcterms:W3CDTF">2012-03-07T21:50:00Z</dcterms:created>
  <dcterms:modified xsi:type="dcterms:W3CDTF">2012-03-08T14:09:00Z</dcterms:modified>
</cp:coreProperties>
</file>